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489B" w14:textId="208F7194" w:rsidR="00635306" w:rsidRPr="00215463" w:rsidRDefault="00215463" w:rsidP="00215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</w:pPr>
      <w:r w:rsidRPr="00215463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Kohinoor Ginning and Pressing Private Limited</w:t>
      </w:r>
      <w:r w:rsidR="00635306" w:rsidRPr="00215463"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 xml:space="preserve"> </w:t>
      </w:r>
    </w:p>
    <w:p w14:paraId="37402189" w14:textId="4E918E79" w:rsidR="003D261C" w:rsidRPr="00215463" w:rsidRDefault="003D261C" w:rsidP="00F37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21546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(A Company under Liquidation vide Hon’ble NCLT, Mumbai order dated </w:t>
      </w:r>
      <w:r w:rsidR="00215463" w:rsidRPr="0021546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02</w:t>
      </w:r>
      <w:r w:rsidRPr="0021546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</w:t>
      </w:r>
      <w:r w:rsidR="00635306" w:rsidRPr="0021546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05</w:t>
      </w:r>
      <w:r w:rsidRPr="0021546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.202</w:t>
      </w:r>
      <w:r w:rsidR="00215463" w:rsidRPr="0021546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4</w:t>
      </w:r>
      <w:r w:rsidRPr="0021546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</w:t>
      </w:r>
    </w:p>
    <w:p w14:paraId="32804A79" w14:textId="61E2D7ED" w:rsidR="00215463" w:rsidRPr="00215463" w:rsidRDefault="003D261C" w:rsidP="00C57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54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Registered Office: </w:t>
      </w:r>
      <w:r w:rsidR="00215463" w:rsidRPr="002154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Office no. 108-112, City Pride Building, 1st floor Near Mondha Naka Signal, Jalna Road, Aurangabad-431001Maharahtra, India.</w:t>
      </w:r>
    </w:p>
    <w:p w14:paraId="6B4F8611" w14:textId="77777777" w:rsidR="005D157B" w:rsidRDefault="005D157B" w:rsidP="00C57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864897A" w14:textId="27365B0B" w:rsidR="00BE1CDA" w:rsidRPr="006E0A23" w:rsidRDefault="003D261C" w:rsidP="00C57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  <w:shd w:val="clear" w:color="auto" w:fill="FFFFFF"/>
        </w:rPr>
      </w:pPr>
      <w:r w:rsidRPr="006E0A23">
        <w:rPr>
          <w:rFonts w:ascii="Times New Roman" w:hAnsi="Times New Roman" w:cs="Times New Roman"/>
          <w:b/>
          <w:bCs/>
          <w:sz w:val="38"/>
          <w:szCs w:val="38"/>
          <w:shd w:val="clear" w:color="auto" w:fill="FFFFFF"/>
        </w:rPr>
        <w:t>E-AUCTION</w:t>
      </w:r>
    </w:p>
    <w:p w14:paraId="7B6EFDDC" w14:textId="6D442015" w:rsidR="00F10EE4" w:rsidRPr="00BC6606" w:rsidRDefault="003D261C" w:rsidP="00BC6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5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Notice is hereby given that </w:t>
      </w:r>
      <w:r w:rsidR="00215463" w:rsidRPr="00215463">
        <w:rPr>
          <w:rFonts w:ascii="Times New Roman" w:hAnsi="Times New Roman" w:cs="Times New Roman"/>
          <w:sz w:val="24"/>
          <w:szCs w:val="24"/>
          <w:shd w:val="clear" w:color="auto" w:fill="FFFFFF"/>
        </w:rPr>
        <w:t>Kohinoor Ginning and Pressing Private Limited</w:t>
      </w:r>
      <w:r w:rsidRPr="00215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(In Liquidation) (Corporate Debtor) is proposed to be sold, in accordance with Clause E of Reg. 32, 32(A) Sub Reg. 1 of Reg 33 and Schedule 1 of Insolvency and Bankruptcy Board of India (Liquidation Process) Regulation, 2016 through E-Auction </w:t>
      </w:r>
      <w:r w:rsidR="00BE1CDA" w:rsidRPr="002154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Platform </w:t>
      </w:r>
      <w:hyperlink r:id="rId5" w:tgtFrame="_blank" w:history="1">
        <w:r w:rsidR="008B5B39" w:rsidRPr="0021546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ncltauction.auctiontiger.net</w:t>
        </w:r>
      </w:hyperlink>
      <w:r w:rsidR="008B5B39" w:rsidRPr="00215463">
        <w:rPr>
          <w:rFonts w:ascii="Times New Roman" w:hAnsi="Times New Roman" w:cs="Times New Roman"/>
          <w:sz w:val="24"/>
          <w:szCs w:val="24"/>
        </w:rPr>
        <w:t>.</w:t>
      </w:r>
      <w:r w:rsidR="00F10EE4">
        <w:rPr>
          <w:rFonts w:ascii="Times New Roman" w:hAnsi="Times New Roman" w:cs="Times New Roman"/>
          <w:sz w:val="24"/>
          <w:szCs w:val="24"/>
        </w:rPr>
        <w:br/>
      </w:r>
      <w:r w:rsidR="00F10EE4">
        <w:rPr>
          <w:rFonts w:ascii="Times New Roman" w:hAnsi="Times New Roman" w:cs="Times New Roman"/>
          <w:sz w:val="24"/>
          <w:szCs w:val="24"/>
        </w:rPr>
        <w:br/>
      </w:r>
      <w:r w:rsidR="00F10EE4" w:rsidRPr="00F10E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Address </w:t>
      </w:r>
      <w:r w:rsidR="00BC6606">
        <w:rPr>
          <w:rFonts w:ascii="Times New Roman" w:hAnsi="Times New Roman" w:cs="Times New Roman"/>
          <w:b/>
          <w:bCs/>
          <w:sz w:val="24"/>
          <w:szCs w:val="24"/>
          <w:u w:val="single"/>
        </w:rPr>
        <w:t>for All</w:t>
      </w:r>
      <w:r w:rsidR="00F10EE4" w:rsidRPr="00F10E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Assets:</w:t>
      </w:r>
    </w:p>
    <w:p w14:paraId="014A14C2" w14:textId="5D8AB550" w:rsidR="00A86551" w:rsidRDefault="00F10EE4" w:rsidP="00A86551">
      <w:pPr>
        <w:jc w:val="both"/>
        <w:rPr>
          <w:rFonts w:ascii="Times New Roman" w:hAnsi="Times New Roman" w:cs="Times New Roman"/>
          <w:sz w:val="24"/>
          <w:szCs w:val="24"/>
        </w:rPr>
      </w:pPr>
      <w:r w:rsidRPr="00215463">
        <w:rPr>
          <w:rFonts w:ascii="Times New Roman" w:hAnsi="Times New Roman" w:cs="Times New Roman"/>
          <w:sz w:val="24"/>
          <w:szCs w:val="24"/>
        </w:rPr>
        <w:t xml:space="preserve">Located at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5463">
        <w:rPr>
          <w:rFonts w:ascii="Times New Roman" w:hAnsi="Times New Roman" w:cs="Times New Roman"/>
          <w:sz w:val="24"/>
          <w:szCs w:val="24"/>
        </w:rPr>
        <w:t xml:space="preserve">r. No. 37/2/2,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5463">
        <w:rPr>
          <w:rFonts w:ascii="Times New Roman" w:hAnsi="Times New Roman" w:cs="Times New Roman"/>
          <w:sz w:val="24"/>
          <w:szCs w:val="24"/>
        </w:rPr>
        <w:t xml:space="preserve">djacent 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5463">
        <w:rPr>
          <w:rFonts w:ascii="Times New Roman" w:hAnsi="Times New Roman" w:cs="Times New Roman"/>
          <w:sz w:val="24"/>
          <w:szCs w:val="24"/>
        </w:rPr>
        <w:t>olapur-</w:t>
      </w:r>
      <w:r w:rsidR="000726E0" w:rsidRPr="000726E0">
        <w:rPr>
          <w:rFonts w:ascii="Times New Roman" w:hAnsi="Times New Roman" w:cs="Times New Roman"/>
          <w:sz w:val="24"/>
          <w:szCs w:val="24"/>
        </w:rPr>
        <w:t xml:space="preserve"> </w:t>
      </w:r>
      <w:r w:rsidR="000726E0" w:rsidRPr="004E5F1D">
        <w:rPr>
          <w:rFonts w:ascii="Times New Roman" w:hAnsi="Times New Roman" w:cs="Times New Roman"/>
          <w:sz w:val="24"/>
          <w:szCs w:val="24"/>
        </w:rPr>
        <w:t>Ahilyanagar</w:t>
      </w:r>
      <w:r w:rsidRPr="00215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15463">
        <w:rPr>
          <w:rFonts w:ascii="Times New Roman" w:hAnsi="Times New Roman" w:cs="Times New Roman"/>
          <w:sz w:val="24"/>
          <w:szCs w:val="24"/>
        </w:rPr>
        <w:t xml:space="preserve">ighway,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15463">
        <w:rPr>
          <w:rFonts w:ascii="Times New Roman" w:hAnsi="Times New Roman" w:cs="Times New Roman"/>
          <w:sz w:val="24"/>
          <w:szCs w:val="24"/>
        </w:rPr>
        <w:t xml:space="preserve">illage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15463">
        <w:rPr>
          <w:rFonts w:ascii="Times New Roman" w:hAnsi="Times New Roman" w:cs="Times New Roman"/>
          <w:sz w:val="24"/>
          <w:szCs w:val="24"/>
        </w:rPr>
        <w:t xml:space="preserve">hogargaon,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15463">
        <w:rPr>
          <w:rFonts w:ascii="Times New Roman" w:hAnsi="Times New Roman" w:cs="Times New Roman"/>
          <w:sz w:val="24"/>
          <w:szCs w:val="24"/>
        </w:rPr>
        <w:t xml:space="preserve">aluka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5463">
        <w:rPr>
          <w:rFonts w:ascii="Times New Roman" w:hAnsi="Times New Roman" w:cs="Times New Roman"/>
          <w:sz w:val="24"/>
          <w:szCs w:val="24"/>
        </w:rPr>
        <w:t xml:space="preserve">hrigonda,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15463">
        <w:rPr>
          <w:rFonts w:ascii="Times New Roman" w:hAnsi="Times New Roman" w:cs="Times New Roman"/>
          <w:sz w:val="24"/>
          <w:szCs w:val="24"/>
        </w:rPr>
        <w:t xml:space="preserve">istrict </w:t>
      </w:r>
      <w:r w:rsidR="004E5F1D" w:rsidRPr="004E5F1D">
        <w:rPr>
          <w:rFonts w:ascii="Times New Roman" w:hAnsi="Times New Roman" w:cs="Times New Roman"/>
          <w:sz w:val="24"/>
          <w:szCs w:val="24"/>
        </w:rPr>
        <w:t>Ahilyanagar</w:t>
      </w:r>
      <w:r w:rsidRPr="002154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D3713">
        <w:rPr>
          <w:rFonts w:ascii="Times New Roman" w:hAnsi="Times New Roman" w:cs="Times New Roman"/>
          <w:sz w:val="24"/>
          <w:szCs w:val="24"/>
        </w:rPr>
        <w:t xml:space="preserve">aharashtra, </w:t>
      </w:r>
      <w:r w:rsidRPr="00215463">
        <w:rPr>
          <w:rFonts w:ascii="Times New Roman" w:hAnsi="Times New Roman" w:cs="Times New Roman"/>
          <w:sz w:val="24"/>
          <w:szCs w:val="24"/>
        </w:rPr>
        <w:t>414401</w:t>
      </w:r>
    </w:p>
    <w:p w14:paraId="57B0F0D2" w14:textId="4B2DD6F6" w:rsidR="005B0F9A" w:rsidRPr="00BC6606" w:rsidRDefault="005B0F9A" w:rsidP="00A8655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833"/>
        <w:gridCol w:w="2451"/>
        <w:gridCol w:w="1363"/>
        <w:gridCol w:w="2006"/>
        <w:gridCol w:w="1893"/>
        <w:gridCol w:w="1509"/>
      </w:tblGrid>
      <w:tr w:rsidR="00BC6606" w:rsidRPr="00F10EE4" w14:paraId="44E15C0F" w14:textId="77777777" w:rsidTr="00EB3DC0">
        <w:trPr>
          <w:trHeight w:val="1248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E6E" w14:textId="35FD4BC6" w:rsidR="00F10EE4" w:rsidRPr="00F10EE4" w:rsidRDefault="000F161F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t>Lot</w:t>
            </w:r>
            <w:r w:rsidR="00F10EE4" w:rsidRPr="00F10EE4">
              <w:rPr>
                <w:rFonts w:ascii="Book Antiqua" w:hAnsi="Book Antiqua"/>
                <w:b/>
                <w:bCs/>
                <w:color w:val="000000"/>
              </w:rPr>
              <w:t xml:space="preserve"> No.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964B" w14:textId="77777777" w:rsidR="00F10EE4" w:rsidRPr="00F10EE4" w:rsidRDefault="00F10EE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F10EE4">
              <w:rPr>
                <w:rFonts w:ascii="Book Antiqua" w:hAnsi="Book Antiqua"/>
                <w:b/>
                <w:bCs/>
                <w:color w:val="000000"/>
              </w:rPr>
              <w:t>Details of Assets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71D" w14:textId="77777777" w:rsidR="00F10EE4" w:rsidRPr="00F10EE4" w:rsidRDefault="00F10EE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F10EE4">
              <w:rPr>
                <w:rFonts w:ascii="Book Antiqua" w:hAnsi="Book Antiqua"/>
                <w:b/>
                <w:bCs/>
                <w:color w:val="000000"/>
              </w:rPr>
              <w:t>Date and time of Auction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7265" w14:textId="77777777" w:rsidR="00F10EE4" w:rsidRPr="00F10EE4" w:rsidRDefault="00F10EE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F10EE4">
              <w:rPr>
                <w:rFonts w:ascii="Book Antiqua" w:hAnsi="Book Antiqua"/>
                <w:b/>
                <w:bCs/>
                <w:color w:val="000000"/>
              </w:rPr>
              <w:t>Reserve Price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64E2" w14:textId="77777777" w:rsidR="00F10EE4" w:rsidRPr="00F10EE4" w:rsidRDefault="00F10EE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F10EE4">
              <w:rPr>
                <w:rFonts w:ascii="Book Antiqua" w:hAnsi="Book Antiqua"/>
                <w:b/>
                <w:bCs/>
                <w:color w:val="000000"/>
              </w:rPr>
              <w:t xml:space="preserve">EMD Amount 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03EB" w14:textId="77777777" w:rsidR="00F10EE4" w:rsidRPr="00F10EE4" w:rsidRDefault="00F10EE4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F10EE4">
              <w:rPr>
                <w:rFonts w:ascii="Book Antiqua" w:hAnsi="Book Antiqua"/>
                <w:b/>
                <w:bCs/>
                <w:color w:val="000000"/>
              </w:rPr>
              <w:t xml:space="preserve">Increment Value </w:t>
            </w:r>
          </w:p>
        </w:tc>
      </w:tr>
      <w:tr w:rsidR="00BC6606" w:rsidRPr="00F10EE4" w14:paraId="1E4552C8" w14:textId="77777777" w:rsidTr="00EB3DC0">
        <w:trPr>
          <w:trHeight w:val="936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7E0" w14:textId="77777777" w:rsidR="00F10EE4" w:rsidRPr="00F10EE4" w:rsidRDefault="00F10EE4">
            <w:pPr>
              <w:jc w:val="center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97B" w14:textId="77777777" w:rsidR="00F10EE4" w:rsidRPr="00F10EE4" w:rsidRDefault="00F10EE4">
            <w:pPr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Book Antiqua" w:hAnsi="Book Antiqua"/>
                <w:b/>
                <w:bCs/>
                <w:color w:val="000000"/>
                <w:u w:val="single"/>
              </w:rPr>
              <w:t xml:space="preserve">Land &amp; Building and Plant and Machinery </w:t>
            </w:r>
            <w:r w:rsidRPr="00F10EE4">
              <w:rPr>
                <w:rFonts w:ascii="Book Antiqua" w:hAnsi="Book Antiqua"/>
                <w:color w:val="000000"/>
              </w:rPr>
              <w:t>Area-24000 Sq. Mt. (Approx)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6ADD" w14:textId="593E6838" w:rsidR="00F10EE4" w:rsidRPr="00F10EE4" w:rsidRDefault="00F10EE4">
            <w:pPr>
              <w:jc w:val="center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Book Antiqua" w:hAnsi="Book Antiqua"/>
                <w:color w:val="000000"/>
              </w:rPr>
              <w:t xml:space="preserve">From 04:00 PM till 06:00 PM on </w:t>
            </w:r>
            <w:r w:rsidR="00C22562">
              <w:rPr>
                <w:rFonts w:ascii="Book Antiqua" w:hAnsi="Book Antiqua"/>
                <w:color w:val="000000"/>
              </w:rPr>
              <w:t>12</w:t>
            </w:r>
            <w:r w:rsidRPr="00F10EE4">
              <w:rPr>
                <w:rFonts w:ascii="Book Antiqua" w:hAnsi="Book Antiqua"/>
                <w:color w:val="000000"/>
              </w:rPr>
              <w:t>/</w:t>
            </w:r>
            <w:r w:rsidR="004E5F1D">
              <w:rPr>
                <w:rFonts w:ascii="Book Antiqua" w:hAnsi="Book Antiqua"/>
                <w:color w:val="000000"/>
              </w:rPr>
              <w:t>0</w:t>
            </w:r>
            <w:r w:rsidR="00C22562">
              <w:rPr>
                <w:rFonts w:ascii="Book Antiqua" w:hAnsi="Book Antiqua"/>
                <w:color w:val="000000"/>
              </w:rPr>
              <w:t>5</w:t>
            </w:r>
            <w:r w:rsidRPr="00F10EE4">
              <w:rPr>
                <w:rFonts w:ascii="Book Antiqua" w:hAnsi="Book Antiqua"/>
                <w:color w:val="000000"/>
              </w:rPr>
              <w:t>/202</w:t>
            </w:r>
            <w:r w:rsidR="004E5F1D">
              <w:rPr>
                <w:rFonts w:ascii="Book Antiqua" w:hAnsi="Book Antiqua"/>
                <w:color w:val="000000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5856" w14:textId="0B1173C8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</w:t>
            </w:r>
            <w:r w:rsidR="004E5F1D">
              <w:rPr>
                <w:rFonts w:ascii="Book Antiqua" w:hAnsi="Book Antiqua"/>
                <w:color w:val="000000"/>
              </w:rPr>
              <w:t>1</w:t>
            </w:r>
            <w:r w:rsidR="0011201D">
              <w:rPr>
                <w:rFonts w:ascii="Book Antiqua" w:hAnsi="Book Antiqua"/>
                <w:color w:val="000000"/>
              </w:rPr>
              <w:t>0</w:t>
            </w:r>
            <w:r w:rsidRPr="00F10EE4">
              <w:rPr>
                <w:rFonts w:ascii="Book Antiqua" w:hAnsi="Book Antiqua"/>
                <w:color w:val="000000"/>
              </w:rPr>
              <w:t>,</w:t>
            </w:r>
            <w:r w:rsidR="0011201D">
              <w:rPr>
                <w:rFonts w:ascii="Book Antiqua" w:hAnsi="Book Antiqua"/>
                <w:color w:val="000000"/>
              </w:rPr>
              <w:t>94</w:t>
            </w:r>
            <w:r w:rsidRPr="00F10EE4">
              <w:rPr>
                <w:rFonts w:ascii="Book Antiqua" w:hAnsi="Book Antiqua"/>
                <w:color w:val="000000"/>
              </w:rPr>
              <w:t>,</w:t>
            </w:r>
            <w:r w:rsidR="0011201D">
              <w:rPr>
                <w:rFonts w:ascii="Book Antiqua" w:hAnsi="Book Antiqua"/>
                <w:color w:val="000000"/>
              </w:rPr>
              <w:t>00</w:t>
            </w:r>
            <w:r w:rsidRPr="00F10EE4">
              <w:rPr>
                <w:rFonts w:ascii="Book Antiqua" w:hAnsi="Book Antiqua"/>
                <w:color w:val="000000"/>
              </w:rPr>
              <w:t>,000.00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9A0" w14:textId="3154D6FC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1,</w:t>
            </w:r>
            <w:r w:rsidR="0011201D">
              <w:rPr>
                <w:rFonts w:ascii="Book Antiqua" w:hAnsi="Book Antiqua"/>
                <w:color w:val="000000"/>
              </w:rPr>
              <w:t>09</w:t>
            </w:r>
            <w:r w:rsidRPr="00F10EE4">
              <w:rPr>
                <w:rFonts w:ascii="Book Antiqua" w:hAnsi="Book Antiqua"/>
                <w:color w:val="000000"/>
              </w:rPr>
              <w:t>,</w:t>
            </w:r>
            <w:r w:rsidR="0011201D">
              <w:rPr>
                <w:rFonts w:ascii="Book Antiqua" w:hAnsi="Book Antiqua"/>
                <w:color w:val="000000"/>
              </w:rPr>
              <w:t>40</w:t>
            </w:r>
            <w:r w:rsidRPr="00F10EE4">
              <w:rPr>
                <w:rFonts w:ascii="Book Antiqua" w:hAnsi="Book Antiqua"/>
                <w:color w:val="000000"/>
              </w:rPr>
              <w:t>,000.00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834F" w14:textId="77777777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5,00,000.00</w:t>
            </w:r>
          </w:p>
        </w:tc>
      </w:tr>
      <w:tr w:rsidR="00BC6606" w:rsidRPr="00F10EE4" w14:paraId="05C0FE7E" w14:textId="77777777" w:rsidTr="00EB3DC0">
        <w:trPr>
          <w:trHeight w:val="624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767" w14:textId="77777777" w:rsidR="00F10EE4" w:rsidRPr="00F10EE4" w:rsidRDefault="00F10EE4">
            <w:pPr>
              <w:jc w:val="center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5D3" w14:textId="77777777" w:rsidR="00F10EE4" w:rsidRPr="00F10EE4" w:rsidRDefault="00F10EE4">
            <w:pPr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Book Antiqua" w:hAnsi="Book Antiqua"/>
                <w:b/>
                <w:bCs/>
                <w:color w:val="000000"/>
                <w:u w:val="single"/>
              </w:rPr>
              <w:t>Land &amp; Building</w:t>
            </w:r>
            <w:r w:rsidRPr="00F10EE4">
              <w:rPr>
                <w:rFonts w:ascii="Book Antiqua" w:hAnsi="Book Antiqua"/>
                <w:color w:val="000000"/>
              </w:rPr>
              <w:t xml:space="preserve"> Area-24000 Sq. Mt. (Approx)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06FB5" w14:textId="77777777" w:rsidR="00F10EE4" w:rsidRPr="00F10EE4" w:rsidRDefault="00F10EE4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DDD" w14:textId="5EA7A55C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</w:t>
            </w:r>
            <w:r w:rsidR="0011201D">
              <w:rPr>
                <w:rFonts w:ascii="Book Antiqua" w:hAnsi="Book Antiqua"/>
                <w:color w:val="000000"/>
              </w:rPr>
              <w:t>9</w:t>
            </w:r>
            <w:r w:rsidRPr="00F10EE4">
              <w:rPr>
                <w:rFonts w:ascii="Book Antiqua" w:hAnsi="Book Antiqua"/>
                <w:color w:val="000000"/>
              </w:rPr>
              <w:t>,</w:t>
            </w:r>
            <w:r w:rsidR="0011201D">
              <w:rPr>
                <w:rFonts w:ascii="Book Antiqua" w:hAnsi="Book Antiqua"/>
                <w:color w:val="000000"/>
              </w:rPr>
              <w:t>48</w:t>
            </w:r>
            <w:r w:rsidRPr="00F10EE4">
              <w:rPr>
                <w:rFonts w:ascii="Book Antiqua" w:hAnsi="Book Antiqua"/>
                <w:color w:val="000000"/>
              </w:rPr>
              <w:t>,00,000.00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B8B" w14:textId="0258A387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</w:t>
            </w:r>
            <w:r w:rsidR="0011201D">
              <w:rPr>
                <w:rFonts w:ascii="Book Antiqua" w:hAnsi="Book Antiqua"/>
                <w:color w:val="000000"/>
              </w:rPr>
              <w:t>94</w:t>
            </w:r>
            <w:r w:rsidRPr="00F10EE4">
              <w:rPr>
                <w:rFonts w:ascii="Book Antiqua" w:hAnsi="Book Antiqua"/>
                <w:color w:val="000000"/>
              </w:rPr>
              <w:t>,</w:t>
            </w:r>
            <w:r w:rsidR="0011201D">
              <w:rPr>
                <w:rFonts w:ascii="Book Antiqua" w:hAnsi="Book Antiqua"/>
                <w:color w:val="000000"/>
              </w:rPr>
              <w:t>8</w:t>
            </w:r>
            <w:r w:rsidRPr="00F10EE4">
              <w:rPr>
                <w:rFonts w:ascii="Book Antiqua" w:hAnsi="Book Antiqua"/>
                <w:color w:val="000000"/>
              </w:rPr>
              <w:t>0,000.00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6F8C" w14:textId="77777777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5,00,000.00</w:t>
            </w:r>
          </w:p>
        </w:tc>
      </w:tr>
      <w:tr w:rsidR="00BC6606" w:rsidRPr="00F10EE4" w14:paraId="2EDB2875" w14:textId="77777777" w:rsidTr="00EB3DC0">
        <w:trPr>
          <w:trHeight w:val="312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D6D4" w14:textId="77777777" w:rsidR="00F10EE4" w:rsidRPr="00F10EE4" w:rsidRDefault="00F10EE4">
            <w:pPr>
              <w:jc w:val="center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Book Antiqua" w:hAnsi="Book Antiqua"/>
                <w:color w:val="000000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5F8E" w14:textId="1F7B513F" w:rsidR="00F10EE4" w:rsidRPr="004E5F1D" w:rsidRDefault="00F10EE4">
            <w:pPr>
              <w:rPr>
                <w:rFonts w:ascii="Book Antiqua" w:hAnsi="Book Antiqua"/>
                <w:b/>
                <w:bCs/>
                <w:color w:val="000000"/>
                <w:u w:val="single"/>
              </w:rPr>
            </w:pPr>
            <w:r w:rsidRPr="004E5F1D">
              <w:rPr>
                <w:rFonts w:ascii="Book Antiqua" w:hAnsi="Book Antiqua"/>
                <w:b/>
                <w:bCs/>
                <w:color w:val="000000"/>
                <w:u w:val="single"/>
              </w:rPr>
              <w:t xml:space="preserve">Plant and Machinery 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B8A93" w14:textId="77777777" w:rsidR="00F10EE4" w:rsidRPr="00F10EE4" w:rsidRDefault="00F10EE4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7E3" w14:textId="0F84F6A4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1,</w:t>
            </w:r>
            <w:r w:rsidR="0011201D">
              <w:rPr>
                <w:rFonts w:ascii="Book Antiqua" w:hAnsi="Book Antiqua"/>
                <w:color w:val="000000"/>
              </w:rPr>
              <w:t>46</w:t>
            </w:r>
            <w:r w:rsidRPr="00F10EE4">
              <w:rPr>
                <w:rFonts w:ascii="Book Antiqua" w:hAnsi="Book Antiqua"/>
                <w:color w:val="000000"/>
              </w:rPr>
              <w:t>,00,000.00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B2D" w14:textId="4E6E5FA1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</w:t>
            </w:r>
            <w:r w:rsidR="0011201D">
              <w:rPr>
                <w:rFonts w:ascii="Book Antiqua" w:hAnsi="Book Antiqua"/>
                <w:color w:val="000000"/>
              </w:rPr>
              <w:t>14</w:t>
            </w:r>
            <w:r w:rsidRPr="00F10EE4">
              <w:rPr>
                <w:rFonts w:ascii="Book Antiqua" w:hAnsi="Book Antiqua"/>
                <w:color w:val="000000"/>
              </w:rPr>
              <w:t>,</w:t>
            </w:r>
            <w:r w:rsidR="0011201D">
              <w:rPr>
                <w:rFonts w:ascii="Book Antiqua" w:hAnsi="Book Antiqua"/>
                <w:color w:val="000000"/>
              </w:rPr>
              <w:t>60</w:t>
            </w:r>
            <w:r w:rsidRPr="00F10EE4">
              <w:rPr>
                <w:rFonts w:ascii="Book Antiqua" w:hAnsi="Book Antiqua"/>
                <w:color w:val="000000"/>
              </w:rPr>
              <w:t>,000.00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83C7" w14:textId="64B5251A" w:rsidR="00F10EE4" w:rsidRPr="00F10EE4" w:rsidRDefault="00F10EE4">
            <w:pPr>
              <w:jc w:val="right"/>
              <w:rPr>
                <w:rFonts w:ascii="Book Antiqua" w:hAnsi="Book Antiqua"/>
                <w:color w:val="000000"/>
              </w:rPr>
            </w:pPr>
            <w:r w:rsidRPr="00F10EE4">
              <w:rPr>
                <w:rFonts w:ascii="Times New Roman" w:hAnsi="Times New Roman" w:cs="Times New Roman"/>
                <w:color w:val="000000"/>
              </w:rPr>
              <w:t>₹</w:t>
            </w:r>
            <w:r w:rsidRPr="00F10EE4">
              <w:rPr>
                <w:rFonts w:ascii="Book Antiqua" w:hAnsi="Book Antiqua"/>
                <w:color w:val="000000"/>
              </w:rPr>
              <w:t xml:space="preserve"> </w:t>
            </w:r>
            <w:r w:rsidR="0011201D">
              <w:rPr>
                <w:rFonts w:ascii="Book Antiqua" w:hAnsi="Book Antiqua"/>
                <w:color w:val="000000"/>
              </w:rPr>
              <w:t>5</w:t>
            </w:r>
            <w:r w:rsidRPr="00F10EE4">
              <w:rPr>
                <w:rFonts w:ascii="Book Antiqua" w:hAnsi="Book Antiqua"/>
                <w:color w:val="000000"/>
              </w:rPr>
              <w:t>,00,000.00</w:t>
            </w:r>
          </w:p>
        </w:tc>
      </w:tr>
    </w:tbl>
    <w:p w14:paraId="5D3BA6ED" w14:textId="17E2FA6D" w:rsidR="0090055C" w:rsidRDefault="0090055C" w:rsidP="00F37F75">
      <w:pPr>
        <w:tabs>
          <w:tab w:val="left" w:pos="351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A7034C" w14:textId="77777777" w:rsidR="005D157B" w:rsidRPr="00215463" w:rsidRDefault="005D157B" w:rsidP="00F37F75">
      <w:pPr>
        <w:tabs>
          <w:tab w:val="left" w:pos="351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7FBA19" w14:textId="77777777" w:rsidR="003D261C" w:rsidRDefault="003D261C" w:rsidP="00F37F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21546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Important Notes:</w:t>
      </w:r>
    </w:p>
    <w:p w14:paraId="652D93A8" w14:textId="77777777" w:rsidR="006D7A72" w:rsidRPr="006D7A72" w:rsidRDefault="006D7A72" w:rsidP="00F37F7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8A5ACE" w14:textId="77777777" w:rsidR="00A96883" w:rsidRDefault="00A96883" w:rsidP="00FD3713">
      <w:pPr>
        <w:pStyle w:val="ListParagraph"/>
        <w:numPr>
          <w:ilvl w:val="0"/>
          <w:numId w:val="2"/>
        </w:numPr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883">
        <w:rPr>
          <w:rFonts w:ascii="Times New Roman" w:hAnsi="Times New Roman" w:cs="Times New Roman"/>
          <w:sz w:val="24"/>
          <w:szCs w:val="24"/>
          <w:shd w:val="clear" w:color="auto" w:fill="FFFFFF"/>
        </w:rPr>
        <w:t>The sale shall be subject to the Terms and Conditions prescribed in the “EAuction Process Information Document” available at https://ebkray.in/ and to the following conditions;</w:t>
      </w:r>
    </w:p>
    <w:p w14:paraId="7E5A014B" w14:textId="77777777" w:rsidR="00A96883" w:rsidRDefault="00A96883" w:rsidP="00A96883">
      <w:pPr>
        <w:pStyle w:val="ListParagraph"/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4597D6" w14:textId="77777777" w:rsidR="00A96883" w:rsidRDefault="00A96883" w:rsidP="00A96883">
      <w:pPr>
        <w:pStyle w:val="ListParagraph"/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DDB54F" w14:textId="6BC5EE35" w:rsidR="00A86551" w:rsidRDefault="00A86551" w:rsidP="00A96883">
      <w:pPr>
        <w:pStyle w:val="ListParagraph"/>
        <w:numPr>
          <w:ilvl w:val="0"/>
          <w:numId w:val="2"/>
        </w:numPr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auction is successful for Lot No. 1, then at the option of Liquidator keeping in mind the value maximisation, the Liquidator may declare the bid for other lots 2 to </w:t>
      </w:r>
      <w:r w:rsidR="004E5F1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cancelled after the completion of auction and the EMD amount, received for such bidder whose auction got cancelled shall be returned within 5 days.</w:t>
      </w:r>
    </w:p>
    <w:p w14:paraId="5BA9C730" w14:textId="77777777" w:rsidR="00A96883" w:rsidRDefault="00A96883" w:rsidP="00A96883">
      <w:pPr>
        <w:pStyle w:val="ListParagraph"/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DAF5F5" w14:textId="572A8229" w:rsidR="00A96883" w:rsidRPr="00A63784" w:rsidRDefault="00A96883" w:rsidP="00A968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3784">
        <w:rPr>
          <w:rFonts w:ascii="Times New Roman" w:hAnsi="Times New Roman" w:cs="Times New Roman"/>
          <w:sz w:val="24"/>
          <w:szCs w:val="24"/>
        </w:rPr>
        <w:lastRenderedPageBreak/>
        <w:t>It is clarified that, this invitation purports to invite prospective bidders and does not create any kind of binding obligation on the part of the Liquidator or the</w:t>
      </w:r>
      <w:r w:rsidR="00A63784">
        <w:rPr>
          <w:rFonts w:ascii="Times New Roman" w:hAnsi="Times New Roman" w:cs="Times New Roman"/>
          <w:sz w:val="24"/>
          <w:szCs w:val="24"/>
        </w:rPr>
        <w:t xml:space="preserve"> </w:t>
      </w:r>
      <w:r w:rsidRPr="00A63784">
        <w:rPr>
          <w:rFonts w:ascii="Times New Roman" w:hAnsi="Times New Roman" w:cs="Times New Roman"/>
          <w:sz w:val="24"/>
          <w:szCs w:val="24"/>
        </w:rPr>
        <w:t xml:space="preserve">Company to effectuate the sale. The Liquidator of </w:t>
      </w:r>
      <w:r w:rsidR="00A63784" w:rsidRPr="00A63784">
        <w:rPr>
          <w:rFonts w:ascii="Times New Roman" w:hAnsi="Times New Roman" w:cs="Times New Roman"/>
          <w:sz w:val="24"/>
          <w:szCs w:val="24"/>
        </w:rPr>
        <w:t>Kohinoor Ginning and Pressing Private Limited</w:t>
      </w:r>
      <w:r w:rsidRPr="00A63784">
        <w:rPr>
          <w:rFonts w:ascii="Times New Roman" w:hAnsi="Times New Roman" w:cs="Times New Roman"/>
          <w:sz w:val="24"/>
          <w:szCs w:val="24"/>
        </w:rPr>
        <w:t xml:space="preserve"> reserves the right to suspend/ abandon/ cancel/extend or modify process terms and/or reject or disqualify any prospective bidder/bid/offer at any stage of the e-auction process without assigning any reason and</w:t>
      </w:r>
      <w:r w:rsidR="00A63784">
        <w:rPr>
          <w:rFonts w:ascii="Times New Roman" w:hAnsi="Times New Roman" w:cs="Times New Roman"/>
          <w:sz w:val="24"/>
          <w:szCs w:val="24"/>
        </w:rPr>
        <w:t xml:space="preserve"> </w:t>
      </w:r>
      <w:r w:rsidRPr="00A63784">
        <w:rPr>
          <w:rFonts w:ascii="Times New Roman" w:hAnsi="Times New Roman" w:cs="Times New Roman"/>
          <w:sz w:val="24"/>
          <w:szCs w:val="24"/>
        </w:rPr>
        <w:t xml:space="preserve">without any liability. </w:t>
      </w:r>
      <w:r w:rsidRPr="00A63784">
        <w:rPr>
          <w:rFonts w:ascii="Times New Roman" w:hAnsi="Times New Roman" w:cs="Times New Roman"/>
          <w:sz w:val="24"/>
          <w:szCs w:val="24"/>
        </w:rPr>
        <w:br/>
      </w:r>
    </w:p>
    <w:p w14:paraId="6F0A5139" w14:textId="77777777" w:rsidR="00A96883" w:rsidRDefault="00A96883" w:rsidP="00A96883">
      <w:pPr>
        <w:pStyle w:val="ListParagraph"/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A5479E" w14:textId="2D5AA0D2" w:rsidR="00A63784" w:rsidRDefault="00A63784" w:rsidP="00A86551">
      <w:pPr>
        <w:pStyle w:val="ListParagraph"/>
        <w:numPr>
          <w:ilvl w:val="0"/>
          <w:numId w:val="2"/>
        </w:numPr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3784">
        <w:rPr>
          <w:rFonts w:ascii="Times New Roman" w:hAnsi="Times New Roman" w:cs="Times New Roman"/>
          <w:sz w:val="24"/>
          <w:szCs w:val="24"/>
          <w:shd w:val="clear" w:color="auto" w:fill="FFFFFF"/>
        </w:rPr>
        <w:t>E-Auction will be conducted on “AS IS WHERE IS'', “AS IS WHAT IS”, “WHATEVER THERE IS'' and “NO RECOURSE BASIS” through approved service provider, M/s. PSB Alliance</w:t>
      </w:r>
      <w:r w:rsid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637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Private Limited (https://ebkray.in/) </w:t>
      </w:r>
    </w:p>
    <w:p w14:paraId="74D1AADB" w14:textId="37F27CAA" w:rsidR="00A86551" w:rsidRPr="00A63784" w:rsidRDefault="00A86551" w:rsidP="00A63784">
      <w:pPr>
        <w:tabs>
          <w:tab w:val="left" w:pos="380"/>
        </w:tabs>
        <w:spacing w:after="0" w:line="276" w:lineRule="auto"/>
        <w:ind w:right="6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3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E1C78" w14:textId="77777777" w:rsidR="00FD3713" w:rsidRDefault="00E01A68" w:rsidP="00FD3713">
      <w:pPr>
        <w:pStyle w:val="ListParagraph"/>
        <w:numPr>
          <w:ilvl w:val="0"/>
          <w:numId w:val="2"/>
        </w:numPr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551">
        <w:rPr>
          <w:rFonts w:ascii="Times New Roman" w:hAnsi="Times New Roman" w:cs="Times New Roman"/>
          <w:sz w:val="24"/>
          <w:szCs w:val="24"/>
        </w:rPr>
        <w:t>The bidders cannot place</w:t>
      </w:r>
      <w:r w:rsidRPr="00A8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bid at a value below the reserve price.</w:t>
      </w:r>
    </w:p>
    <w:p w14:paraId="52271836" w14:textId="77777777" w:rsidR="00FD3713" w:rsidRPr="00FD3713" w:rsidRDefault="00FD3713" w:rsidP="00FD3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A68406" w14:textId="6C7D4DD7" w:rsidR="00FD3713" w:rsidRPr="00FD3713" w:rsidRDefault="00A63784" w:rsidP="00FD3713">
      <w:pPr>
        <w:pStyle w:val="ListParagraph"/>
        <w:numPr>
          <w:ilvl w:val="0"/>
          <w:numId w:val="2"/>
        </w:numPr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713">
        <w:rPr>
          <w:rFonts w:ascii="Times New Roman" w:hAnsi="Times New Roman" w:cs="Times New Roman"/>
          <w:sz w:val="24"/>
          <w:szCs w:val="24"/>
        </w:rPr>
        <w:t>The time period for payment by successful bidder shall be as provided in Clause 12 of Schedule 1 of IBBI</w:t>
      </w:r>
      <w:r w:rsidR="00FD3713">
        <w:rPr>
          <w:rFonts w:ascii="Times New Roman" w:hAnsi="Times New Roman" w:cs="Times New Roman"/>
          <w:sz w:val="24"/>
          <w:szCs w:val="24"/>
        </w:rPr>
        <w:t xml:space="preserve"> </w:t>
      </w:r>
      <w:r w:rsidRPr="00FD3713">
        <w:rPr>
          <w:rFonts w:ascii="Times New Roman" w:hAnsi="Times New Roman" w:cs="Times New Roman"/>
          <w:sz w:val="24"/>
          <w:szCs w:val="24"/>
        </w:rPr>
        <w:t>(Liquidation Process)</w:t>
      </w:r>
      <w:r w:rsidR="00FD3713">
        <w:rPr>
          <w:rFonts w:ascii="Times New Roman" w:hAnsi="Times New Roman" w:cs="Times New Roman"/>
          <w:sz w:val="24"/>
          <w:szCs w:val="24"/>
        </w:rPr>
        <w:t xml:space="preserve"> </w:t>
      </w:r>
      <w:r w:rsidRPr="00FD3713">
        <w:rPr>
          <w:rFonts w:ascii="Times New Roman" w:hAnsi="Times New Roman" w:cs="Times New Roman"/>
          <w:sz w:val="24"/>
          <w:szCs w:val="24"/>
        </w:rPr>
        <w:t>Regulations, 2016.</w:t>
      </w:r>
      <w:r w:rsidR="00FD3713">
        <w:rPr>
          <w:rFonts w:ascii="Times New Roman" w:hAnsi="Times New Roman" w:cs="Times New Roman"/>
          <w:sz w:val="24"/>
          <w:szCs w:val="24"/>
        </w:rPr>
        <w:t xml:space="preserve"> Further, in accordance with Regulation 31A(1)(h) of the Liquidation Regulations, the Liquidator has kept a provision for </w:t>
      </w:r>
      <w:r w:rsidR="00FD3713" w:rsidRPr="00FD3713">
        <w:rPr>
          <w:rFonts w:ascii="Times New Roman" w:hAnsi="Times New Roman" w:cs="Times New Roman"/>
          <w:sz w:val="24"/>
          <w:szCs w:val="24"/>
        </w:rPr>
        <w:t xml:space="preserve">extension of </w:t>
      </w:r>
      <w:r w:rsidR="00FD3713">
        <w:rPr>
          <w:rFonts w:ascii="Times New Roman" w:hAnsi="Times New Roman" w:cs="Times New Roman"/>
          <w:sz w:val="24"/>
          <w:szCs w:val="24"/>
        </w:rPr>
        <w:t xml:space="preserve">the timeline for </w:t>
      </w:r>
      <w:r w:rsidR="00FD3713" w:rsidRPr="00FD3713">
        <w:rPr>
          <w:rFonts w:ascii="Times New Roman" w:hAnsi="Times New Roman" w:cs="Times New Roman"/>
          <w:sz w:val="24"/>
          <w:szCs w:val="24"/>
        </w:rPr>
        <w:t>payment of balance sale consideration</w:t>
      </w:r>
      <w:r w:rsidR="00FD3713">
        <w:rPr>
          <w:rFonts w:ascii="Times New Roman" w:hAnsi="Times New Roman" w:cs="Times New Roman"/>
          <w:sz w:val="24"/>
          <w:szCs w:val="24"/>
        </w:rPr>
        <w:t xml:space="preserve"> by the successful bidder, which is however, strictly subject to approval by the members of the SCC. </w:t>
      </w:r>
    </w:p>
    <w:p w14:paraId="4123B930" w14:textId="77777777" w:rsidR="00FD3713" w:rsidRPr="00FD3713" w:rsidRDefault="00FD3713" w:rsidP="00FD3713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B1B3AB" w14:textId="20C7A032" w:rsidR="00FD3713" w:rsidRDefault="00A63784" w:rsidP="00FD3713">
      <w:pPr>
        <w:pStyle w:val="ListParagraph"/>
        <w:numPr>
          <w:ilvl w:val="0"/>
          <w:numId w:val="2"/>
        </w:numPr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last date for submission of Eligibility documents and bid documents as mentioned in the Process Documents is </w:t>
      </w:r>
      <w:r w:rsidR="00C22562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April, 2025. Inspection Date- 2</w:t>
      </w:r>
      <w:r w:rsidR="00C22562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April, 2025 to 0</w:t>
      </w:r>
      <w:r w:rsidR="00C22562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May, 2025 and submission of</w:t>
      </w:r>
      <w:r w:rsid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arnest </w:t>
      </w:r>
      <w:r w:rsid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oney </w:t>
      </w:r>
      <w:r w:rsid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eposit to reach the account of Corporate Debtor as maintained by the Liquidator on or before </w:t>
      </w:r>
      <w:r w:rsidR="00C22562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May, 2025. </w:t>
      </w:r>
    </w:p>
    <w:p w14:paraId="4D4673D9" w14:textId="77777777" w:rsidR="00FD3713" w:rsidRPr="00FD3713" w:rsidRDefault="00FD3713" w:rsidP="00FD3713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EE9599" w14:textId="13072955" w:rsidR="00FD3713" w:rsidRDefault="00FD3713" w:rsidP="00FD3713">
      <w:pPr>
        <w:pStyle w:val="ListParagraph"/>
        <w:numPr>
          <w:ilvl w:val="0"/>
          <w:numId w:val="2"/>
        </w:numPr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prospective bidders shall submit an undertaking that they do not suffer from any ineligibility under section 29A of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IBC, 2016 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>to the extent applicable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if 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found ineligible at any stage,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arnest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oney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>eposit shall be forfeited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3284716" w14:textId="77777777" w:rsidR="00FD3713" w:rsidRPr="00FD3713" w:rsidRDefault="00FD3713" w:rsidP="00FD3713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E3B28B" w14:textId="77777777" w:rsidR="00FD3713" w:rsidRDefault="00FD3713" w:rsidP="00FD3713">
      <w:pPr>
        <w:pStyle w:val="ListParagraph"/>
        <w:numPr>
          <w:ilvl w:val="0"/>
          <w:numId w:val="2"/>
        </w:numPr>
        <w:tabs>
          <w:tab w:val="left" w:pos="380"/>
        </w:tabs>
        <w:spacing w:after="0" w:line="276" w:lineRule="auto"/>
        <w:ind w:right="69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>Any modification in timelines and/or in the “e-auction process information document” including terms and conditions will be notified in the website of M/s. PSB Alliance Private Limited (</w:t>
      </w:r>
      <w:hyperlink r:id="rId6" w:history="1">
        <w:r w:rsidRPr="00FD371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https://ebkray.in/</w:t>
        </w:r>
      </w:hyperlink>
      <w:r w:rsidRPr="00FD371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F455124" w14:textId="77777777" w:rsidR="00FD3713" w:rsidRPr="00FD3713" w:rsidRDefault="00FD3713" w:rsidP="00FD3713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06E85B" w14:textId="53014863" w:rsidR="003E77EF" w:rsidRPr="00215463" w:rsidRDefault="00E01A68" w:rsidP="003E77E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5463">
        <w:rPr>
          <w:rFonts w:ascii="Times New Roman" w:hAnsi="Times New Roman" w:cs="Times New Roman"/>
          <w:sz w:val="24"/>
          <w:szCs w:val="24"/>
        </w:rPr>
        <w:t xml:space="preserve">Please feel free to contact </w:t>
      </w:r>
      <w:r w:rsidR="00B66D7C" w:rsidRPr="00215463">
        <w:rPr>
          <w:rFonts w:ascii="Times New Roman" w:hAnsi="Times New Roman" w:cs="Times New Roman"/>
          <w:sz w:val="24"/>
          <w:szCs w:val="24"/>
        </w:rPr>
        <w:t xml:space="preserve">Manoj </w:t>
      </w:r>
      <w:r w:rsidR="00B66D7C" w:rsidRPr="00215463">
        <w:rPr>
          <w:rFonts w:ascii="Times New Roman" w:hAnsi="Times New Roman" w:cs="Times New Roman"/>
          <w:sz w:val="24"/>
          <w:szCs w:val="24"/>
          <w:shd w:val="clear" w:color="auto" w:fill="FFFFFF"/>
        </w:rPr>
        <w:t>Kumar Mishra</w:t>
      </w:r>
      <w:r w:rsidRPr="00215463">
        <w:rPr>
          <w:rFonts w:ascii="Times New Roman" w:hAnsi="Times New Roman" w:cs="Times New Roman"/>
          <w:sz w:val="24"/>
          <w:szCs w:val="24"/>
        </w:rPr>
        <w:t xml:space="preserve"> at </w:t>
      </w:r>
      <w:r w:rsidR="00215463" w:rsidRPr="00215463">
        <w:rPr>
          <w:rFonts w:ascii="Book Antiqua" w:eastAsia="Times New Roman" w:hAnsi="Book Antiqua" w:cs="Times New Roman"/>
          <w:u w:val="single"/>
          <w:lang w:eastAsia="en-IN"/>
        </w:rPr>
        <w:t>cirp.kohinoorgppl@gmail.com</w:t>
      </w:r>
      <w:r w:rsidRPr="00215463">
        <w:rPr>
          <w:rFonts w:ascii="Times New Roman" w:hAnsi="Times New Roman" w:cs="Times New Roman"/>
          <w:sz w:val="24"/>
          <w:szCs w:val="24"/>
        </w:rPr>
        <w:t xml:space="preserve"> in case of any further clarification is required</w:t>
      </w:r>
      <w:r w:rsidRPr="002154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76F047" w14:textId="77777777" w:rsidR="00BE1CDA" w:rsidRPr="00215463" w:rsidRDefault="00BE1CDA" w:rsidP="003E77E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738449" w14:textId="77777777" w:rsidR="00B66D7C" w:rsidRPr="00215463" w:rsidRDefault="00B66D7C" w:rsidP="003E77EF">
      <w:pPr>
        <w:spacing w:after="0" w:line="240" w:lineRule="auto"/>
        <w:ind w:left="2880" w:right="-279"/>
        <w:rPr>
          <w:rFonts w:ascii="Times New Roman" w:hAnsi="Times New Roman" w:cs="Times New Roman"/>
          <w:sz w:val="24"/>
          <w:szCs w:val="24"/>
        </w:rPr>
      </w:pPr>
    </w:p>
    <w:p w14:paraId="54E36F0D" w14:textId="77777777" w:rsidR="00A86551" w:rsidRDefault="00A86551" w:rsidP="003E77EF">
      <w:pPr>
        <w:spacing w:after="0" w:line="240" w:lineRule="auto"/>
        <w:ind w:left="2880" w:right="-279"/>
        <w:rPr>
          <w:rFonts w:ascii="Times New Roman" w:hAnsi="Times New Roman" w:cs="Times New Roman"/>
          <w:sz w:val="24"/>
          <w:szCs w:val="24"/>
        </w:rPr>
      </w:pPr>
    </w:p>
    <w:p w14:paraId="73D08747" w14:textId="38955B7C" w:rsidR="003E77EF" w:rsidRPr="00215463" w:rsidRDefault="00635306" w:rsidP="003E77EF">
      <w:pPr>
        <w:spacing w:after="0" w:line="240" w:lineRule="auto"/>
        <w:ind w:left="2880" w:right="-279"/>
        <w:rPr>
          <w:rFonts w:ascii="Times New Roman" w:hAnsi="Times New Roman" w:cs="Times New Roman"/>
          <w:sz w:val="24"/>
          <w:szCs w:val="24"/>
        </w:rPr>
      </w:pPr>
      <w:r w:rsidRPr="00215463">
        <w:rPr>
          <w:rFonts w:ascii="Times New Roman" w:hAnsi="Times New Roman" w:cs="Times New Roman"/>
          <w:sz w:val="24"/>
          <w:szCs w:val="24"/>
        </w:rPr>
        <w:t>Manoj Kumar Mishra</w:t>
      </w:r>
    </w:p>
    <w:p w14:paraId="248429FB" w14:textId="60F6B6D2" w:rsidR="008578DE" w:rsidRPr="00215463" w:rsidRDefault="008578DE" w:rsidP="003E77EF">
      <w:pPr>
        <w:spacing w:after="0" w:line="240" w:lineRule="auto"/>
        <w:ind w:left="2160" w:right="-279" w:firstLine="720"/>
        <w:rPr>
          <w:rFonts w:ascii="Times New Roman" w:hAnsi="Times New Roman" w:cs="Times New Roman"/>
          <w:sz w:val="24"/>
          <w:szCs w:val="24"/>
        </w:rPr>
      </w:pPr>
      <w:r w:rsidRPr="00215463">
        <w:rPr>
          <w:rFonts w:ascii="Times New Roman" w:hAnsi="Times New Roman" w:cs="Times New Roman"/>
          <w:sz w:val="24"/>
          <w:szCs w:val="24"/>
        </w:rPr>
        <w:t>In the capacity of Liquidator</w:t>
      </w:r>
    </w:p>
    <w:p w14:paraId="234A55D2" w14:textId="5DA3658D" w:rsidR="00635306" w:rsidRPr="00215463" w:rsidRDefault="008578DE" w:rsidP="003E77EF">
      <w:pPr>
        <w:spacing w:after="0" w:line="240" w:lineRule="auto"/>
        <w:ind w:left="-113"/>
        <w:rPr>
          <w:rFonts w:ascii="Times New Roman" w:hAnsi="Times New Roman" w:cs="Times New Roman"/>
          <w:b/>
          <w:sz w:val="24"/>
          <w:szCs w:val="24"/>
        </w:rPr>
      </w:pPr>
      <w:r w:rsidRPr="00215463">
        <w:rPr>
          <w:rFonts w:ascii="Times New Roman" w:hAnsi="Times New Roman" w:cs="Times New Roman"/>
          <w:sz w:val="24"/>
          <w:szCs w:val="24"/>
        </w:rPr>
        <w:t xml:space="preserve">Date: </w:t>
      </w:r>
      <w:r w:rsidR="0011201D">
        <w:rPr>
          <w:rFonts w:ascii="Times New Roman" w:hAnsi="Times New Roman" w:cs="Times New Roman"/>
          <w:sz w:val="24"/>
          <w:szCs w:val="24"/>
        </w:rPr>
        <w:t>09</w:t>
      </w:r>
      <w:r w:rsidR="00535FBA" w:rsidRPr="00215463">
        <w:rPr>
          <w:rFonts w:ascii="Times New Roman" w:hAnsi="Times New Roman" w:cs="Times New Roman"/>
          <w:sz w:val="24"/>
          <w:szCs w:val="24"/>
        </w:rPr>
        <w:t>/</w:t>
      </w:r>
      <w:r w:rsidR="0011201D">
        <w:rPr>
          <w:rFonts w:ascii="Times New Roman" w:hAnsi="Times New Roman" w:cs="Times New Roman"/>
          <w:sz w:val="24"/>
          <w:szCs w:val="24"/>
        </w:rPr>
        <w:t>04</w:t>
      </w:r>
      <w:r w:rsidR="00535FBA" w:rsidRPr="00215463">
        <w:rPr>
          <w:rFonts w:ascii="Times New Roman" w:hAnsi="Times New Roman" w:cs="Times New Roman"/>
          <w:sz w:val="24"/>
          <w:szCs w:val="24"/>
        </w:rPr>
        <w:t>/</w:t>
      </w:r>
      <w:r w:rsidR="002F2BB1" w:rsidRPr="00215463">
        <w:rPr>
          <w:rFonts w:ascii="Times New Roman" w:hAnsi="Times New Roman" w:cs="Times New Roman"/>
          <w:sz w:val="24"/>
          <w:szCs w:val="24"/>
        </w:rPr>
        <w:t>202</w:t>
      </w:r>
      <w:r w:rsidR="004E5F1D">
        <w:rPr>
          <w:rFonts w:ascii="Times New Roman" w:hAnsi="Times New Roman" w:cs="Times New Roman"/>
          <w:sz w:val="24"/>
          <w:szCs w:val="24"/>
        </w:rPr>
        <w:t>5</w:t>
      </w:r>
      <w:r w:rsidR="00055753" w:rsidRPr="00215463">
        <w:rPr>
          <w:rFonts w:ascii="Times New Roman" w:hAnsi="Times New Roman" w:cs="Times New Roman"/>
          <w:sz w:val="24"/>
          <w:szCs w:val="24"/>
        </w:rPr>
        <w:tab/>
      </w:r>
      <w:r w:rsidR="00535FBA" w:rsidRPr="00215463">
        <w:rPr>
          <w:rFonts w:ascii="Times New Roman" w:hAnsi="Times New Roman" w:cs="Times New Roman"/>
          <w:sz w:val="24"/>
          <w:szCs w:val="24"/>
        </w:rPr>
        <w:tab/>
      </w:r>
      <w:r w:rsidR="00635306" w:rsidRPr="00215463">
        <w:rPr>
          <w:rFonts w:ascii="Times New Roman" w:hAnsi="Times New Roman" w:cs="Times New Roman"/>
          <w:b/>
          <w:sz w:val="24"/>
          <w:szCs w:val="24"/>
        </w:rPr>
        <w:t xml:space="preserve">M/s. </w:t>
      </w:r>
      <w:r w:rsidR="00215463" w:rsidRPr="00215463">
        <w:rPr>
          <w:rFonts w:ascii="Times New Roman" w:hAnsi="Times New Roman" w:cs="Times New Roman"/>
          <w:bCs/>
          <w:sz w:val="24"/>
          <w:szCs w:val="24"/>
        </w:rPr>
        <w:t>Kohinoor Ginning and Pressing Private Limited</w:t>
      </w:r>
    </w:p>
    <w:p w14:paraId="1FC2DA52" w14:textId="3882DCFF" w:rsidR="003E77EF" w:rsidRPr="00215463" w:rsidRDefault="008578DE" w:rsidP="003E77EF">
      <w:pPr>
        <w:spacing w:after="0" w:line="240" w:lineRule="auto"/>
        <w:ind w:left="-113"/>
        <w:rPr>
          <w:rFonts w:ascii="Times New Roman" w:hAnsi="Times New Roman" w:cs="Times New Roman"/>
          <w:b/>
          <w:sz w:val="24"/>
          <w:szCs w:val="24"/>
        </w:rPr>
      </w:pPr>
      <w:r w:rsidRPr="00215463">
        <w:rPr>
          <w:rFonts w:ascii="Times New Roman" w:hAnsi="Times New Roman" w:cs="Times New Roman"/>
          <w:sz w:val="24"/>
          <w:szCs w:val="24"/>
        </w:rPr>
        <w:t>Place: Mumbai</w:t>
      </w:r>
      <w:r w:rsidR="00635306" w:rsidRPr="00215463">
        <w:rPr>
          <w:rFonts w:ascii="Times New Roman" w:hAnsi="Times New Roman" w:cs="Times New Roman"/>
          <w:sz w:val="24"/>
          <w:szCs w:val="24"/>
        </w:rPr>
        <w:tab/>
      </w:r>
      <w:r w:rsidR="00635306" w:rsidRPr="00215463">
        <w:rPr>
          <w:rFonts w:ascii="Times New Roman" w:hAnsi="Times New Roman" w:cs="Times New Roman"/>
          <w:sz w:val="24"/>
          <w:szCs w:val="24"/>
        </w:rPr>
        <w:tab/>
      </w:r>
      <w:r w:rsidR="00635306" w:rsidRPr="00215463">
        <w:rPr>
          <w:rFonts w:ascii="Times New Roman" w:hAnsi="Times New Roman" w:cs="Times New Roman"/>
          <w:sz w:val="24"/>
          <w:szCs w:val="24"/>
        </w:rPr>
        <w:tab/>
      </w:r>
      <w:r w:rsidR="00635306" w:rsidRPr="00215463">
        <w:rPr>
          <w:rFonts w:ascii="Times New Roman" w:hAnsi="Times New Roman" w:cs="Times New Roman"/>
          <w:b/>
          <w:bCs/>
          <w:sz w:val="24"/>
          <w:szCs w:val="24"/>
        </w:rPr>
        <w:t>IP Regn. No.</w:t>
      </w:r>
      <w:r w:rsidR="00635306" w:rsidRPr="00215463">
        <w:rPr>
          <w:rFonts w:ascii="Times New Roman" w:hAnsi="Times New Roman" w:cs="Times New Roman"/>
          <w:sz w:val="24"/>
          <w:szCs w:val="24"/>
        </w:rPr>
        <w:t xml:space="preserve"> IBBI/IPA-001/IP-P/01152/2018-2019/11902</w:t>
      </w:r>
    </w:p>
    <w:p w14:paraId="2DF819AC" w14:textId="4D0F8A5A" w:rsidR="00635306" w:rsidRPr="00215463" w:rsidRDefault="00635306" w:rsidP="003E77EF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215463">
        <w:rPr>
          <w:rFonts w:ascii="Times New Roman" w:hAnsi="Times New Roman" w:cs="Times New Roman"/>
          <w:b/>
          <w:bCs/>
          <w:sz w:val="24"/>
          <w:szCs w:val="24"/>
        </w:rPr>
        <w:t>AFA valid upto</w:t>
      </w:r>
      <w:r w:rsidRPr="00215463">
        <w:rPr>
          <w:rFonts w:ascii="Times New Roman" w:hAnsi="Times New Roman" w:cs="Times New Roman"/>
          <w:sz w:val="24"/>
          <w:szCs w:val="24"/>
        </w:rPr>
        <w:t xml:space="preserve"> </w:t>
      </w:r>
      <w:r w:rsidR="006C37D2">
        <w:rPr>
          <w:rFonts w:ascii="Times New Roman" w:hAnsi="Times New Roman" w:cs="Times New Roman"/>
          <w:sz w:val="24"/>
          <w:szCs w:val="24"/>
        </w:rPr>
        <w:t>31</w:t>
      </w:r>
      <w:r w:rsidRPr="00215463">
        <w:rPr>
          <w:rFonts w:ascii="Times New Roman" w:hAnsi="Times New Roman" w:cs="Times New Roman"/>
          <w:sz w:val="24"/>
          <w:szCs w:val="24"/>
        </w:rPr>
        <w:t>.12.202</w:t>
      </w:r>
      <w:r w:rsidR="006C37D2">
        <w:rPr>
          <w:rFonts w:ascii="Times New Roman" w:hAnsi="Times New Roman" w:cs="Times New Roman"/>
          <w:sz w:val="24"/>
          <w:szCs w:val="24"/>
        </w:rPr>
        <w:t>5</w:t>
      </w:r>
    </w:p>
    <w:p w14:paraId="505D2B47" w14:textId="77777777" w:rsidR="00C57BBB" w:rsidRPr="00215463" w:rsidRDefault="00635306" w:rsidP="00C57BBB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215463">
        <w:rPr>
          <w:rFonts w:ascii="Times New Roman" w:hAnsi="Times New Roman" w:cs="Times New Roman"/>
          <w:b/>
          <w:bCs/>
          <w:sz w:val="24"/>
          <w:szCs w:val="24"/>
        </w:rPr>
        <w:t>Regd. Address:</w:t>
      </w:r>
      <w:r w:rsidR="00C57BBB" w:rsidRPr="00215463">
        <w:rPr>
          <w:rFonts w:ascii="Times New Roman" w:hAnsi="Times New Roman" w:cs="Times New Roman"/>
          <w:sz w:val="24"/>
          <w:szCs w:val="24"/>
        </w:rPr>
        <w:t xml:space="preserve"> Office No. 13/14, 2</w:t>
      </w:r>
      <w:r w:rsidR="00C57BBB" w:rsidRPr="002154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57BBB" w:rsidRPr="00215463">
        <w:rPr>
          <w:rFonts w:ascii="Times New Roman" w:hAnsi="Times New Roman" w:cs="Times New Roman"/>
          <w:sz w:val="24"/>
          <w:szCs w:val="24"/>
        </w:rPr>
        <w:t xml:space="preserve"> Floor,</w:t>
      </w:r>
    </w:p>
    <w:p w14:paraId="21522C12" w14:textId="77777777" w:rsidR="00C57BBB" w:rsidRPr="00215463" w:rsidRDefault="00C57BBB" w:rsidP="00C57BBB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215463">
        <w:rPr>
          <w:rFonts w:ascii="Times New Roman" w:hAnsi="Times New Roman" w:cs="Times New Roman"/>
          <w:sz w:val="24"/>
          <w:szCs w:val="24"/>
        </w:rPr>
        <w:lastRenderedPageBreak/>
        <w:t xml:space="preserve">84/ Dholakawala Building, Janmabhoomi Marg, </w:t>
      </w:r>
    </w:p>
    <w:p w14:paraId="7C14E488" w14:textId="77777777" w:rsidR="00C57BBB" w:rsidRPr="00215463" w:rsidRDefault="00C57BBB" w:rsidP="00C57BBB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215463">
        <w:rPr>
          <w:rFonts w:ascii="Times New Roman" w:hAnsi="Times New Roman" w:cs="Times New Roman"/>
          <w:sz w:val="24"/>
          <w:szCs w:val="24"/>
        </w:rPr>
        <w:t>Fort, Mumbai, MH - 400 001</w:t>
      </w:r>
    </w:p>
    <w:p w14:paraId="22AF1427" w14:textId="478FA967" w:rsidR="00635306" w:rsidRPr="00215463" w:rsidRDefault="00635306" w:rsidP="00C57BBB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215463">
        <w:rPr>
          <w:rFonts w:ascii="Times New Roman" w:hAnsi="Times New Roman" w:cs="Times New Roman"/>
          <w:b/>
          <w:bCs/>
          <w:sz w:val="24"/>
          <w:szCs w:val="24"/>
        </w:rPr>
        <w:t>Regd. Email ID:</w:t>
      </w:r>
      <w:r w:rsidRPr="00215463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5D157B" w:rsidRPr="007C2490">
          <w:rPr>
            <w:rStyle w:val="Hyperlink"/>
          </w:rPr>
          <w:t>ip</w:t>
        </w:r>
        <w:r w:rsidR="005D157B" w:rsidRPr="007C2490">
          <w:rPr>
            <w:rStyle w:val="Hyperlink"/>
            <w:rFonts w:ascii="Times New Roman" w:hAnsi="Times New Roman" w:cs="Times New Roman"/>
            <w:sz w:val="24"/>
            <w:szCs w:val="24"/>
          </w:rPr>
          <w:t>manojkumarmishra@gmail.com</w:t>
        </w:r>
      </w:hyperlink>
    </w:p>
    <w:p w14:paraId="70C15BAC" w14:textId="63A11523" w:rsidR="00A96883" w:rsidRDefault="00635306" w:rsidP="00A96883">
      <w:pPr>
        <w:spacing w:after="0"/>
        <w:ind w:left="2160"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215463">
        <w:rPr>
          <w:rFonts w:ascii="Times New Roman" w:hAnsi="Times New Roman" w:cs="Times New Roman"/>
          <w:b/>
          <w:bCs/>
          <w:sz w:val="24"/>
          <w:szCs w:val="24"/>
        </w:rPr>
        <w:t>Correspondence Email ID</w:t>
      </w:r>
      <w:r w:rsidRPr="00215463">
        <w:rPr>
          <w:rFonts w:ascii="Times New Roman" w:hAnsi="Times New Roman" w:cs="Times New Roman"/>
          <w:sz w:val="24"/>
          <w:szCs w:val="24"/>
        </w:rPr>
        <w:t>: </w:t>
      </w:r>
      <w:hyperlink r:id="rId8" w:history="1">
        <w:r w:rsidR="00A96883" w:rsidRPr="00F63BEB">
          <w:rPr>
            <w:rStyle w:val="Hyperlink"/>
            <w:rFonts w:ascii="Times New Roman" w:hAnsi="Times New Roman" w:cs="Times New Roman"/>
            <w:sz w:val="24"/>
            <w:szCs w:val="24"/>
          </w:rPr>
          <w:t>cirp.kohinoorgppl@gmail.com</w:t>
        </w:r>
      </w:hyperlink>
      <w:r w:rsidR="00A96883">
        <w:rPr>
          <w:rStyle w:val="Hyperlink"/>
          <w:rFonts w:ascii="Times New Roman" w:hAnsi="Times New Roman" w:cs="Times New Roman"/>
          <w:sz w:val="24"/>
          <w:szCs w:val="24"/>
        </w:rPr>
        <w:br/>
      </w:r>
      <w:r w:rsidR="00A96883">
        <w:rPr>
          <w:rStyle w:val="Hyperlink"/>
          <w:rFonts w:ascii="Times New Roman" w:hAnsi="Times New Roman" w:cs="Times New Roman"/>
          <w:sz w:val="24"/>
          <w:szCs w:val="24"/>
        </w:rPr>
        <w:br/>
      </w:r>
    </w:p>
    <w:p w14:paraId="751941E5" w14:textId="77777777" w:rsidR="00A96883" w:rsidRDefault="00A96883" w:rsidP="00A96883">
      <w:pPr>
        <w:spacing w:after="0"/>
        <w:rPr>
          <w:rStyle w:val="Hyperlink"/>
        </w:rPr>
      </w:pPr>
    </w:p>
    <w:p w14:paraId="3680817F" w14:textId="77777777" w:rsidR="00A96883" w:rsidRDefault="00A96883" w:rsidP="00A96883">
      <w:pPr>
        <w:spacing w:after="0"/>
        <w:rPr>
          <w:rStyle w:val="Hyperlink"/>
        </w:rPr>
      </w:pPr>
    </w:p>
    <w:p w14:paraId="1719337B" w14:textId="77777777" w:rsidR="00A96883" w:rsidRDefault="00A96883" w:rsidP="00A96883">
      <w:pPr>
        <w:spacing w:after="0"/>
        <w:rPr>
          <w:rStyle w:val="Hyperlink"/>
        </w:rPr>
      </w:pPr>
    </w:p>
    <w:p w14:paraId="62F4AC7D" w14:textId="77777777" w:rsidR="00A96883" w:rsidRDefault="00A96883" w:rsidP="00A96883">
      <w:pPr>
        <w:spacing w:after="0"/>
        <w:rPr>
          <w:rStyle w:val="Hyperlink"/>
        </w:rPr>
      </w:pPr>
    </w:p>
    <w:p w14:paraId="53DD9B35" w14:textId="77777777" w:rsidR="00A96883" w:rsidRDefault="00A96883" w:rsidP="00A96883">
      <w:pPr>
        <w:spacing w:after="0"/>
        <w:rPr>
          <w:rStyle w:val="Hyperlink"/>
        </w:rPr>
      </w:pPr>
    </w:p>
    <w:p w14:paraId="226FCDE9" w14:textId="77777777" w:rsidR="00A96883" w:rsidRPr="00BB6430" w:rsidRDefault="00A96883" w:rsidP="00A96883">
      <w:pPr>
        <w:spacing w:after="0"/>
        <w:rPr>
          <w:rStyle w:val="Hyperlink"/>
        </w:rPr>
      </w:pPr>
    </w:p>
    <w:sectPr w:rsidR="00A96883" w:rsidRPr="00BB6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2DE"/>
    <w:multiLevelType w:val="hybridMultilevel"/>
    <w:tmpl w:val="C3CC06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7F5F"/>
    <w:multiLevelType w:val="hybridMultilevel"/>
    <w:tmpl w:val="05001B2C"/>
    <w:lvl w:ilvl="0" w:tplc="F1083E9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493626">
    <w:abstractNumId w:val="1"/>
  </w:num>
  <w:num w:numId="2" w16cid:durableId="106472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1C"/>
    <w:rsid w:val="00007017"/>
    <w:rsid w:val="0001203D"/>
    <w:rsid w:val="00055753"/>
    <w:rsid w:val="000726E0"/>
    <w:rsid w:val="00095B22"/>
    <w:rsid w:val="000B0551"/>
    <w:rsid w:val="000B5429"/>
    <w:rsid w:val="000E2A17"/>
    <w:rsid w:val="000E41C0"/>
    <w:rsid w:val="000F161F"/>
    <w:rsid w:val="0011201D"/>
    <w:rsid w:val="00134A36"/>
    <w:rsid w:val="00171522"/>
    <w:rsid w:val="00195133"/>
    <w:rsid w:val="00215463"/>
    <w:rsid w:val="00240124"/>
    <w:rsid w:val="002411E3"/>
    <w:rsid w:val="00256533"/>
    <w:rsid w:val="002724C9"/>
    <w:rsid w:val="002F1C18"/>
    <w:rsid w:val="002F2BB1"/>
    <w:rsid w:val="003011C7"/>
    <w:rsid w:val="00314A1F"/>
    <w:rsid w:val="003D261C"/>
    <w:rsid w:val="003D35E6"/>
    <w:rsid w:val="003E77EF"/>
    <w:rsid w:val="00455D16"/>
    <w:rsid w:val="004732D6"/>
    <w:rsid w:val="00480FA6"/>
    <w:rsid w:val="004A4520"/>
    <w:rsid w:val="004B462A"/>
    <w:rsid w:val="004C0ED2"/>
    <w:rsid w:val="004E5F1D"/>
    <w:rsid w:val="00502930"/>
    <w:rsid w:val="00507159"/>
    <w:rsid w:val="00507FF2"/>
    <w:rsid w:val="00517F38"/>
    <w:rsid w:val="0052415E"/>
    <w:rsid w:val="00535FBA"/>
    <w:rsid w:val="0054570C"/>
    <w:rsid w:val="0055045D"/>
    <w:rsid w:val="005611BE"/>
    <w:rsid w:val="0059350D"/>
    <w:rsid w:val="005B0F9A"/>
    <w:rsid w:val="005D157B"/>
    <w:rsid w:val="00621FDB"/>
    <w:rsid w:val="00635306"/>
    <w:rsid w:val="006425D0"/>
    <w:rsid w:val="006C37D2"/>
    <w:rsid w:val="006D7A72"/>
    <w:rsid w:val="006E0A23"/>
    <w:rsid w:val="006E1297"/>
    <w:rsid w:val="007A451E"/>
    <w:rsid w:val="008026D7"/>
    <w:rsid w:val="00817EAC"/>
    <w:rsid w:val="008576B0"/>
    <w:rsid w:val="008578DE"/>
    <w:rsid w:val="0087164F"/>
    <w:rsid w:val="008B5B39"/>
    <w:rsid w:val="0090055C"/>
    <w:rsid w:val="00921DF5"/>
    <w:rsid w:val="00942FB3"/>
    <w:rsid w:val="009F0760"/>
    <w:rsid w:val="009F50D0"/>
    <w:rsid w:val="00A54ACB"/>
    <w:rsid w:val="00A63784"/>
    <w:rsid w:val="00A86551"/>
    <w:rsid w:val="00A96883"/>
    <w:rsid w:val="00AC2C1F"/>
    <w:rsid w:val="00B06025"/>
    <w:rsid w:val="00B47DC9"/>
    <w:rsid w:val="00B66D7C"/>
    <w:rsid w:val="00BB4937"/>
    <w:rsid w:val="00BB6430"/>
    <w:rsid w:val="00BC6606"/>
    <w:rsid w:val="00BE1CDA"/>
    <w:rsid w:val="00BF173D"/>
    <w:rsid w:val="00C00303"/>
    <w:rsid w:val="00C00385"/>
    <w:rsid w:val="00C22562"/>
    <w:rsid w:val="00C33D98"/>
    <w:rsid w:val="00C57BBB"/>
    <w:rsid w:val="00C74587"/>
    <w:rsid w:val="00C94267"/>
    <w:rsid w:val="00CC454B"/>
    <w:rsid w:val="00D04612"/>
    <w:rsid w:val="00D21625"/>
    <w:rsid w:val="00D2689D"/>
    <w:rsid w:val="00D81B6C"/>
    <w:rsid w:val="00D8557A"/>
    <w:rsid w:val="00D85965"/>
    <w:rsid w:val="00DF74C1"/>
    <w:rsid w:val="00E01A68"/>
    <w:rsid w:val="00E26CB6"/>
    <w:rsid w:val="00E342C2"/>
    <w:rsid w:val="00E441AB"/>
    <w:rsid w:val="00E52E53"/>
    <w:rsid w:val="00E84743"/>
    <w:rsid w:val="00EB3DC0"/>
    <w:rsid w:val="00F10EE4"/>
    <w:rsid w:val="00F25CB4"/>
    <w:rsid w:val="00F37F75"/>
    <w:rsid w:val="00F542A6"/>
    <w:rsid w:val="00F747A3"/>
    <w:rsid w:val="00F86EAD"/>
    <w:rsid w:val="00F94C34"/>
    <w:rsid w:val="00F976F4"/>
    <w:rsid w:val="00FD190C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AFE1"/>
  <w15:docId w15:val="{57CA6864-EF53-423C-BD2B-94E969E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eading 9,Annexure,List Paragraph1,Heading 91,List Paragraph2,Heading 911,Heading 9111,Heading 91111,Heading 92,WinDForce-Letter,List Paragraph11,Level-1,List Paragraph 2,Lvl 1 Bullet,Johan bulletList Paragraph,Report Para,Bullet 05"/>
    <w:basedOn w:val="Normal"/>
    <w:link w:val="ListParagraphChar"/>
    <w:uiPriority w:val="34"/>
    <w:qFormat/>
    <w:rsid w:val="00900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B3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A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157B"/>
    <w:rPr>
      <w:color w:val="605E5C"/>
      <w:shd w:val="clear" w:color="auto" w:fill="E1DFDD"/>
    </w:rPr>
  </w:style>
  <w:style w:type="character" w:customStyle="1" w:styleId="ListParagraphChar">
    <w:name w:val="List Paragraph Char"/>
    <w:aliases w:val="heading 9 Char,Annexure Char,List Paragraph1 Char,Heading 91 Char,List Paragraph2 Char,Heading 911 Char,Heading 9111 Char,Heading 91111 Char,Heading 92 Char,WinDForce-Letter Char,List Paragraph11 Char,Level-1 Char,Lvl 1 Bullet Char"/>
    <w:link w:val="ListParagraph"/>
    <w:uiPriority w:val="34"/>
    <w:qFormat/>
    <w:locked/>
    <w:rsid w:val="00A86551"/>
  </w:style>
  <w:style w:type="character" w:styleId="FollowedHyperlink">
    <w:name w:val="FollowedHyperlink"/>
    <w:basedOn w:val="DefaultParagraphFont"/>
    <w:uiPriority w:val="99"/>
    <w:semiHidden/>
    <w:unhideWhenUsed/>
    <w:rsid w:val="00A86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p.kohinoorgpp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manojkumarmish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bkray.in/" TargetMode="External"/><Relationship Id="rId5" Type="http://schemas.openxmlformats.org/officeDocument/2006/relationships/hyperlink" Target="https://ncltauction.auctiontiger.net/EPRO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Parshav Gandhi</dc:creator>
  <cp:keywords/>
  <dc:description/>
  <cp:lastModifiedBy>Samruddhi</cp:lastModifiedBy>
  <cp:revision>12</cp:revision>
  <cp:lastPrinted>2023-04-13T09:28:00Z</cp:lastPrinted>
  <dcterms:created xsi:type="dcterms:W3CDTF">2024-11-02T08:16:00Z</dcterms:created>
  <dcterms:modified xsi:type="dcterms:W3CDTF">2025-04-09T07:58:00Z</dcterms:modified>
</cp:coreProperties>
</file>